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A8" w:rsidRPr="00C253A8" w:rsidRDefault="00C253A8" w:rsidP="00C253A8">
      <w:pPr>
        <w:spacing w:after="0" w:line="240" w:lineRule="auto"/>
        <w:jc w:val="center"/>
        <w:textAlignment w:val="center"/>
        <w:rPr>
          <w:rFonts w:ascii="HelveticaNeueCyr-Roman" w:eastAsia="Times New Roman" w:hAnsi="HelveticaNeueCyr-Roman" w:cs="Times New Roman"/>
          <w:color w:val="333333"/>
          <w:sz w:val="18"/>
          <w:szCs w:val="18"/>
          <w:lang w:eastAsia="uk-UA"/>
        </w:rPr>
      </w:pPr>
      <w:r w:rsidRPr="00C253A8">
        <w:rPr>
          <w:rFonts w:ascii="inherit" w:eastAsia="Times New Roman" w:hAnsi="inherit" w:cs="Times New Roman"/>
          <w:sz w:val="30"/>
          <w:szCs w:val="30"/>
          <w:lang w:eastAsia="uk-UA"/>
        </w:rPr>
        <w:t>РЕКОМЕНДАЦІЇ ЩОДО ПРАВИЛ ПОВЕДІНКИ ВІДПОВІДАЛЬНИХ ОСІБ З МАЛОМОБІЛЬНИМИ ГРУПАМИ НАСЕЛЕННЯ</w:t>
      </w:r>
    </w:p>
    <w:p w:rsidR="00C253A8" w:rsidRPr="00C253A8" w:rsidRDefault="00C253A8" w:rsidP="00C253A8">
      <w:pPr>
        <w:spacing w:before="300" w:after="150" w:line="240" w:lineRule="auto"/>
        <w:jc w:val="both"/>
        <w:outlineLvl w:val="1"/>
        <w:rPr>
          <w:rFonts w:ascii="inherit" w:eastAsia="Times New Roman" w:hAnsi="inherit" w:cs="Times New Roman"/>
          <w:sz w:val="30"/>
          <w:szCs w:val="30"/>
          <w:lang w:eastAsia="uk-UA"/>
        </w:rPr>
      </w:pPr>
      <w:r w:rsidRPr="00C253A8">
        <w:rPr>
          <w:rFonts w:ascii="inherit" w:eastAsia="Times New Roman" w:hAnsi="inherit" w:cs="Times New Roman"/>
          <w:sz w:val="30"/>
          <w:szCs w:val="30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    У разі якщо до суду звертається особа, що має обмежені фізичні можливості, відповідальний працівник суду (визначений внутрішнім наказом суду) повинен бути ознайомлений із принципами та правилами спілкування з такими відвідувачами суду, та надати кваліфіковану допомогу у доступі відвідувачів із обмеженими фізичними можливостями до правосуддя.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Основні принципи етики спілкування з людьми  із обмеженими фізичними можливостями: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* Толерантність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* Рівноправ’я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* Розуміння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* Шанобливість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* Визнання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* Сприйнятливість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Якщо в суд звертається особа, що має обмежені  фізичні можливості, то потрібно трактувати її  в першу чергу як відвідувача, який звернувся за послугою, але при цьому необхідно розуміти і володіти деякими особливостями у спілкуванні.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u w:val="single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u w:val="single"/>
          <w:lang w:eastAsia="uk-UA"/>
        </w:rPr>
        <w:t>ВІДВУДАВАЧ СУДУ ІЗ ВАДАМИ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u w:val="single"/>
          <w:lang w:eastAsia="uk-UA"/>
        </w:rPr>
        <w:t>ОПОРНО-РУХОВОГО АПАРАТУ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  У більшості  приміщення суду мають проблем</w:t>
      </w:r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и у пересуванні  і користуванні </w:t>
      </w: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допоміжними засобами, особливо для тих, які пересуваються в кріслі-візку. До приміщень людина в кріслі-візку навіть </w:t>
      </w:r>
      <w:bookmarkStart w:id="0" w:name="_GoBack"/>
      <w:bookmarkEnd w:id="0"/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не може потрапити в двері суду при вході.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  </w:t>
      </w: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u w:val="single"/>
          <w:lang w:eastAsia="uk-UA"/>
        </w:rPr>
        <w:t>У такому випадку необхідно виконати наступні дії: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Забезпечити особі  з вадою опорно-рухового апарату можливість повідомити працівників суду про необхідність отримати послугу чи допомогу. В такому випадку потрібно забезпечити можливість зв’язку працівни</w:t>
      </w:r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ка суду та відвідувачем суду. Дл</w:t>
      </w: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я цього повинен бути встановлений  двосторонній зв’язок, як до прикладу переговорний пристрій, тощо. Такі технічні засоби зв’язку повинні бути розташовані при вході в будинок в зоні досяжності людини, яка сидить в кріслі-візку. Цей пристрій необхідно позначити Міжнародним символом доступності.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Після з’ясування причини звернення за посередництвом  каналу зв’язку особи з вадою опорно-рухового апарату виходить уповноважений працівник суду. При потребі </w:t>
      </w: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lastRenderedPageBreak/>
        <w:t xml:space="preserve">потрапити в приміщення  суду  з’ясуйте – як допомогти щоб проїхати в дверях, переїхати через поріг, піднятися по сходах, </w:t>
      </w:r>
      <w:proofErr w:type="spellStart"/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тощо</w:t>
      </w:r>
      <w:proofErr w:type="spellEnd"/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.  </w:t>
      </w: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При потребі перенести людину у візку запитуйте,  за які частини візка можна брати, щоб піднімати. Не хапайтеся без попередження за крісло-візок.</w:t>
      </w:r>
    </w:p>
    <w:p w:rsidR="00C253A8" w:rsidRPr="00C253A8" w:rsidRDefault="00C253A8" w:rsidP="00C253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Не поводьтеся самовільно з  людиною у візку,</w:t>
      </w: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не котіть її без дозволу. </w:t>
      </w: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Під час спілкування ваші обличчя мають бути на одному рівні. Ви повинні або присісти, або сісти поруч на стільці.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Якщо людина в кріслі-візку є разом із супроводжуючою її особою, при спілкуванні необхідно звертатися безпосередньо до особи, якої це стосується.  Якщо це стосується особи з вадою опорно-рухового апарату, то при спілкуванні  потрібно в першу чергу звертатися і розмовляти з нею, а не із супроводжуючою особою.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u w:val="single"/>
          <w:lang w:eastAsia="uk-UA"/>
        </w:rPr>
        <w:t>Основні правила спілкування: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Зробити крок назустріч і спитати – чим можна допомогти.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Допомога має бути ненав’язливою  і не надмірною.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Вислухайте:  що і як робити. Люди на візку також мають різну фізичну справність, відповідно і допомоги можуть очікувати різної.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Спілкуючись з людиною, яка сидить у візку намагайтеся знайти можливість спілкуватися з нею на одному рівні, щоб людина у візку не задирала до співрозмовника голову. Бажано, знайти можливість сісти на стілець і, якщо йдеться про ознайомлення з документами, мати можливість сидіти поруч за столом.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Майте на увазі, що  у неповноправної людини можуть бути проблеми користуватися письмовим приладдям тощо.  Запитуйте, чи потрібно в цьому допомогти.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u w:val="single"/>
          <w:lang w:eastAsia="uk-UA"/>
        </w:rPr>
        <w:t>ВІДВУДАВАЧ СУДУ ІЗ ВАДАМИ СЛУХУ ТА МОВИ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 Важливо, щоб в приміщеннях суду була повноцінна візуальна інформація.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Люди з вадами слуху ззовні без ознак інвалідності. Однак, при цьому вони можуть мати різний рівень втрати слуху і по різному розвинене мовлення. Є люди, які не чують, але розмовляють. Спілкуючись будьте привітними, посміхайтеся. Таким чином людина матиме до Вас довіру.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 xml:space="preserve">–    При розмові з </w:t>
      </w:r>
      <w:proofErr w:type="spellStart"/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нечуючими</w:t>
      </w:r>
      <w:proofErr w:type="spellEnd"/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 xml:space="preserve"> необхідно дивитися безпосередньо на співрозмовника, повільно і чітко промовляти слова із виразною </w:t>
      </w:r>
      <w:proofErr w:type="spellStart"/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мімікою.</w:t>
      </w:r>
      <w:proofErr w:type="spellEnd"/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 </w:t>
      </w: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Важливо, щоб джерело світла не було за Вашою спиною, бо в такому випадку Ваше обличчя буде затінене.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Необхідно мати можливість спілкуватися за допомогою переписки: мати листки паперу, блокнот, ручку або олівець тощо.  Звичайно, треба писати читабельним почерком, не формулювати довгих фраз.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Не затемнюйте обличчя, особливо уста, і не закривайте його руками, волоссям тощо.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Щоб привернути увагу людини, яка не чує, торкніться її злегка за плече, або помахайте до неї рукою. Коли Вас помітили, тоді починайте спілкування. Кричати не варто.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–    Якщо </w:t>
      </w:r>
      <w:proofErr w:type="spellStart"/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нечуюча</w:t>
      </w:r>
      <w:proofErr w:type="spellEnd"/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 людина користується послугою </w:t>
      </w:r>
      <w:proofErr w:type="spellStart"/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сурдоперекладача</w:t>
      </w:r>
      <w:proofErr w:type="spellEnd"/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, то при спілкуванні необхідно дивитися на того, хто звернувся за послугою.  Тобто, на </w:t>
      </w:r>
      <w:proofErr w:type="spellStart"/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нечуючу</w:t>
      </w:r>
      <w:proofErr w:type="spellEnd"/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 xml:space="preserve"> людину, а не на перекладача.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lastRenderedPageBreak/>
        <w:t>–    Підтримуйте зоровий контакт, демонструйте спокій та позитивні емоції.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Під час розмови з людиною, яка має порушення слуху потрібно дивитися саме на неї.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Пильнуйте, щоб джерела світла не було за Вами. Не затемнюйте свого обличчя.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Переписуйтеся, щоб уникнути труднощів при усному спілкування.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Говоріть ясно та чітко, не змінюйте теми розмови.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b/>
          <w:bCs/>
          <w:sz w:val="24"/>
          <w:szCs w:val="24"/>
          <w:u w:val="single"/>
          <w:lang w:eastAsia="uk-UA"/>
        </w:rPr>
        <w:t>ВІДВУДАВАЧ СУДУ ІЗ ВАДАМИ ЗОРУ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   Спілкуючись із незрячими людьми називайте себе і, залежно від ситуації, присутніх.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Описуйте – де Ви знаходитесь і попереджуйте про перешкоди, які є на шляху.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У розмові з незрячою людиною завжди звертайтеся безпосередньо до неї. Необхідно представитися хто Ви, які маєте повноваження, після чого повинні запитати – чим допомогти.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При супроводі у приміщені  попереджуйте про перешкоди, які є на шляху, наприклад: «зараз будуть сходи, двері з порогом тощо». При можливості озвучуйте інформуючи про оточення.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Якщо припровадили незрячу людину до якогось кабінету службової особи, то інформуйте, куди Ви привели, називайте цю людину і інших присутніх. Якщо збираєтесь читати, попередьте про це.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Не замінюйте читання будь-якого документу його переказом, особливо,  якщо при цьому треба поставити підпис.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Якщо рухатись, то попередьте про це.</w:t>
      </w:r>
    </w:p>
    <w:p w:rsidR="00C253A8" w:rsidRPr="00C253A8" w:rsidRDefault="00C253A8" w:rsidP="00C253A8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C253A8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–    Не тягніть за собою. Поясніть чітко – куди потрібно  іти.</w:t>
      </w:r>
    </w:p>
    <w:p w:rsidR="008C3303" w:rsidRDefault="008C3303"/>
    <w:sectPr w:rsidR="008C3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3588"/>
    <w:multiLevelType w:val="multilevel"/>
    <w:tmpl w:val="DCDA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E550D"/>
    <w:multiLevelType w:val="multilevel"/>
    <w:tmpl w:val="258A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D8"/>
    <w:rsid w:val="006C29D8"/>
    <w:rsid w:val="008C3303"/>
    <w:rsid w:val="00C2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25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253A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25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25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253A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2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373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971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1575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61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31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3807</Words>
  <Characters>2171</Characters>
  <Application>Microsoft Office Word</Application>
  <DocSecurity>0</DocSecurity>
  <Lines>18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2018-05-07T13:07:00Z</dcterms:created>
  <dcterms:modified xsi:type="dcterms:W3CDTF">2018-05-07T13:14:00Z</dcterms:modified>
</cp:coreProperties>
</file>